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1" w:line="560" w:lineRule="exact"/>
        <w:jc w:val="center"/>
        <w:rPr>
          <w:rFonts w:hint="eastAsia" w:ascii="仿宋" w:hAnsi="仿宋" w:eastAsia="仿宋" w:cs="仿宋"/>
          <w:lang w:val="en-US"/>
        </w:rPr>
      </w:pPr>
      <w:r>
        <w:rPr>
          <w:rFonts w:hint="eastAsia" w:ascii="方正小标宋简体" w:hAnsi="方正小标宋简体" w:eastAsia="方正小标宋简体" w:cs="方正小标宋简体"/>
          <w:sz w:val="44"/>
          <w:szCs w:val="44"/>
          <w:lang w:val="en-US"/>
        </w:rPr>
        <w:t>继续教育学时（分）认定有关说明</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专业技术人员每年都应参加公需科目和专业科目培训，继续教育形式、学时（分）认定所需材料、学时（分）折算细则如下：</w:t>
      </w:r>
    </w:p>
    <w:p>
      <w:pPr>
        <w:spacing w:line="560" w:lineRule="exact"/>
        <w:ind w:firstLine="642" w:firstLineChars="200"/>
        <w:rPr>
          <w:rFonts w:hint="eastAsia" w:ascii="仿宋" w:hAnsi="仿宋" w:eastAsia="仿宋" w:cs="仿宋"/>
          <w:sz w:val="32"/>
          <w:szCs w:val="32"/>
        </w:rPr>
      </w:pPr>
      <w:r>
        <w:rPr>
          <w:rFonts w:hint="eastAsia" w:ascii="黑体" w:hAnsi="黑体" w:eastAsia="黑体" w:cs="黑体"/>
          <w:sz w:val="32"/>
          <w:szCs w:val="32"/>
        </w:rPr>
        <w:t>一、继续教育形式及学时（分）认定所需材料</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1．参加培训班、研修班、进修班的提供以下材料之一：</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（1）培训通知、培训课程表（或培训日程安排）、培训签到表或其他签到形式；</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（2）培训通知（或培训签到表、培训课程表、培训日程安排之一）、结业证书。</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2．参加继续教育实践活动的提供以下材料之一：</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（1）实践活动通知、加盖单位公章的派出通知；</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（2）实践活动通知（或实践报名表）、实践活动日志。</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3．参加网络平台专业课程等远程教育的提供以下材料之一：</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（1）课程内容安排、课程完成进度；</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（2）课程时长（或课程内容）、结业证书。</w:t>
      </w:r>
    </w:p>
    <w:p>
      <w:pPr>
        <w:spacing w:line="560" w:lineRule="exact"/>
        <w:ind w:firstLine="610" w:firstLineChars="200"/>
        <w:rPr>
          <w:rFonts w:hint="eastAsia" w:ascii="仿宋" w:hAnsi="仿宋" w:eastAsia="仿宋" w:cs="仿宋"/>
          <w:w w:val="95"/>
          <w:sz w:val="32"/>
          <w:szCs w:val="32"/>
        </w:rPr>
      </w:pPr>
      <w:r>
        <w:rPr>
          <w:rFonts w:hint="eastAsia" w:ascii="仿宋" w:hAnsi="仿宋" w:eastAsia="仿宋" w:cs="仿宋"/>
          <w:w w:val="95"/>
          <w:sz w:val="32"/>
          <w:szCs w:val="32"/>
        </w:rPr>
        <w:t>4．参加学术会议、讲座、访问、交流等的提供以下材料之一：</w:t>
      </w:r>
    </w:p>
    <w:p>
      <w:pPr>
        <w:spacing w:line="560" w:lineRule="exact"/>
        <w:ind w:firstLine="610" w:firstLineChars="200"/>
        <w:rPr>
          <w:rFonts w:hint="eastAsia" w:ascii="仿宋" w:hAnsi="仿宋" w:eastAsia="仿宋" w:cs="仿宋"/>
          <w:w w:val="95"/>
          <w:sz w:val="32"/>
          <w:szCs w:val="32"/>
        </w:rPr>
      </w:pPr>
      <w:r>
        <w:rPr>
          <w:rFonts w:hint="eastAsia" w:ascii="仿宋" w:hAnsi="仿宋" w:eastAsia="仿宋" w:cs="仿宋"/>
          <w:w w:val="95"/>
          <w:sz w:val="32"/>
          <w:szCs w:val="32"/>
        </w:rPr>
        <w:t>（1）邀请函或通知、加盖公章的参会回执、学习笔记等资料；</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（2）会议通讯录、邮件回执、财务报账单等其他辅证材料。</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5．参加课题研究与项目开发的提供结题（项）证明材料。</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6．出版著作（译作）的提供含作者名字的著作封面、版权页及目录复印件。发表论文的提供刊物封面、刊号、含论文标题和作者姓名的目录复印件。</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7．获得发明专利、实用新型专利或外观设计专利的提供专利证书。</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8．主持或参与课题获政府或行业组织奖项的提供获奖证书。</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9．参加人社部门专业技术人员计算机应用能力考试合格的提供合格证书。</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10．“三援”、东西部扶贫协作、公共卫生事件防控一线等政府部门特定工作任务的提供派遣通知及考核表等相关辅证材料。</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11．提升学历层次继续深造的，提供学习课程成绩单；参加专业技术人员职业资格考试的，提供考试成绩单。</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12．海外交换（交流）的提供邀请函、回执（或学习资料，或邀请方颁发的结业证书等）。</w:t>
      </w:r>
    </w:p>
    <w:p>
      <w:pPr>
        <w:spacing w:line="560" w:lineRule="exact"/>
        <w:ind w:firstLine="642" w:firstLineChars="200"/>
        <w:rPr>
          <w:rFonts w:hint="eastAsia" w:ascii="仿宋" w:hAnsi="仿宋" w:eastAsia="仿宋" w:cs="仿宋"/>
          <w:sz w:val="32"/>
          <w:szCs w:val="32"/>
        </w:rPr>
      </w:pPr>
      <w:r>
        <w:rPr>
          <w:rFonts w:hint="eastAsia" w:ascii="黑体" w:hAnsi="黑体" w:eastAsia="黑体" w:cs="黑体"/>
          <w:sz w:val="32"/>
          <w:szCs w:val="32"/>
        </w:rPr>
        <w:t>二、学时（分）折算细则</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1．参加有关培训、会议等，每天折算为10学时（分），半天折算4学时（分），晚上折算2学时（分）。</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2．参加政府或行业组织课题研究与项目开发，结题当年可视同参加专业科目培训，课题项目主持人员可折算90 学时（分）；参与人员折算60学时（分）。</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3．出版著作（译作）或教材的，出版当年可视同参加专业科目培训，独立或第一作者可折算90 学时（分），其他作者可折算60 学时（分）。在国内统一刊号刊物发表论文的，当年可视同参加专业科目培训，独立或第一作者的每篇折算专业科目30学时（分）；其他作者的折算专业科目10 学时（分）。</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4．获得专利授予的，当年视同参加专业科目培训，独立或第一完成人每项折算90 学时（分）；其他完成人折算60 学时（分）。</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5．获省部级及以上科技（社科）奖项的，当年可视同参加专业科目培训，折算90 学时（分）。获地厅级科技（社科）奖项的，前五名完成人每项折算专业科目60 学时（分）；其他完成人折算专业科目30 学时（分）。</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6．参加人社部门专业技术人员计算机应用能力考试合格的，每个模块折算专业科目20学时（分）。</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7．参加“三援”（援藏、援疆、援外）、东西部扶贫协作等省级以上特定工作任务人员工作时间为6 个月的，考核合格者视为完成当年继续教育90 学时（分）；超过1 年以上的，考核合格者视为完成外派期间所有年度继续教育90 学时（分）。省级以上特定任务有另行规定的从其规定。</w:t>
      </w:r>
    </w:p>
    <w:p>
      <w:pPr>
        <w:spacing w:line="560" w:lineRule="exact"/>
        <w:ind w:firstLine="642" w:firstLineChars="200"/>
        <w:rPr>
          <w:rFonts w:hint="eastAsia" w:ascii="仿宋" w:hAnsi="仿宋" w:eastAsia="仿宋" w:cs="仿宋"/>
          <w:sz w:val="32"/>
          <w:szCs w:val="32"/>
        </w:rPr>
      </w:pPr>
      <w:r>
        <w:rPr>
          <w:rFonts w:hint="eastAsia" w:ascii="仿宋" w:hAnsi="仿宋" w:eastAsia="仿宋" w:cs="仿宋"/>
          <w:sz w:val="32"/>
          <w:szCs w:val="32"/>
        </w:rPr>
        <w:t>8．参加国家教育行政主管部门承认的学历（学位）教育，当年度通过一门学习课程或考核的，可折算专业科目90 学时（分）。</w:t>
      </w:r>
    </w:p>
    <w:p>
      <w:pPr>
        <w:spacing w:line="560" w:lineRule="exact"/>
        <w:ind w:firstLine="642" w:firstLineChars="200"/>
      </w:pPr>
      <w:r>
        <w:rPr>
          <w:rFonts w:hint="eastAsia" w:ascii="仿宋" w:hAnsi="仿宋" w:eastAsia="仿宋" w:cs="仿宋"/>
          <w:sz w:val="32"/>
          <w:szCs w:val="32"/>
        </w:rPr>
        <w:t>9．参加专业技术人员职业资格考试，当年度通过一门考试课程的，可折算专业科目90学时（分）。</w:t>
      </w:r>
      <w:bookmarkStart w:id="0" w:name="_GoBack"/>
      <w:bookmarkEnd w:id="0"/>
    </w:p>
    <w:sectPr>
      <w:footerReference r:id="rId3" w:type="default"/>
      <w:footerReference r:id="rId4" w:type="even"/>
      <w:pgSz w:w="11905" w:h="16838"/>
      <w:pgMar w:top="1440" w:right="1797" w:bottom="1440" w:left="1644" w:header="850" w:footer="992" w:gutter="0"/>
      <w:pgNumType w:start="10"/>
      <w:cols w:space="720" w:num="1"/>
      <w:rtlGutter w:val="0"/>
      <w:docGrid w:type="linesAndChars" w:linePitch="313" w:charSpace="3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lang w:val="en-US"/>
      </w:rPr>
      <mc:AlternateContent>
        <mc:Choice Requires="wps">
          <w:drawing>
            <wp:anchor distT="0" distB="0" distL="114300" distR="114300" simplePos="0" relativeHeight="251659264" behindDoc="1" locked="0" layoutInCell="1" allowOverlap="1">
              <wp:simplePos x="0" y="0"/>
              <wp:positionH relativeFrom="page">
                <wp:posOffset>5028565</wp:posOffset>
              </wp:positionH>
              <wp:positionV relativeFrom="page">
                <wp:posOffset>6528435</wp:posOffset>
              </wp:positionV>
              <wp:extent cx="635000" cy="19431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5000" cy="194310"/>
                      </a:xfrm>
                      <a:prstGeom prst="rect">
                        <a:avLst/>
                      </a:prstGeom>
                      <a:noFill/>
                      <a:ln>
                        <a:noFill/>
                      </a:ln>
                    </wps:spPr>
                    <wps:txbx>
                      <w:txbxContent>
                        <w:p>
                          <w:pPr>
                            <w:spacing w:line="301" w:lineRule="exact"/>
                            <w:ind w:left="20"/>
                            <w:rPr>
                              <w:sz w:val="24"/>
                            </w:rPr>
                          </w:pPr>
                          <w:r>
                            <w:rPr>
                              <w:sz w:val="24"/>
                              <w:szCs w:val="22"/>
                            </w:rPr>
                            <w:t xml:space="preserve">— </w:t>
                          </w:r>
                          <w:r>
                            <w:rPr>
                              <w:sz w:val="24"/>
                            </w:rPr>
                            <w:fldChar w:fldCharType="begin"/>
                          </w:r>
                          <w:r>
                            <w:rPr>
                              <w:sz w:val="24"/>
                            </w:rPr>
                            <w:instrText xml:space="preserve"> PAGE </w:instrText>
                          </w:r>
                          <w:r>
                            <w:rPr>
                              <w:sz w:val="24"/>
                            </w:rPr>
                            <w:fldChar w:fldCharType="separate"/>
                          </w:r>
                          <w:r>
                            <w:rPr>
                              <w:sz w:val="24"/>
                            </w:rPr>
                            <w:t>10</w:t>
                          </w:r>
                          <w:r>
                            <w:rPr>
                              <w:sz w:val="24"/>
                            </w:rPr>
                            <w:fldChar w:fldCharType="end"/>
                          </w:r>
                          <w:r>
                            <w:rPr>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395.95pt;margin-top:514.05pt;height:15.3pt;width:50pt;mso-position-horizontal-relative:page;mso-position-vertical-relative:page;z-index:-251657216;mso-width-relative:page;mso-height-relative:page;" filled="f" stroked="f" coordsize="21600,21600" o:gfxdata="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Pekze2QAAAA0BAAAPAAAAAAAAAAEAIAAAACIAAABkcnMvZG93bnJldi54bWxQSwEC&#10;FAAUAAAACACHTuJAS0cx8LoBAABxAwAADgAAAAAAAAABACAAAAAoAQAAZHJzL2Uyb0RvYy54bWxQ&#10;SwUGAAAAAAYABgBZAQAAVAUAAAAA&#10;">
              <v:fill on="f" focussize="0,0"/>
              <v:stroke on="f"/>
              <v:imagedata o:title=""/>
              <o:lock v:ext="edit" aspectratio="f"/>
              <v:textbox inset="0mm,0mm,0mm,0mm">
                <w:txbxContent>
                  <w:p>
                    <w:pPr>
                      <w:spacing w:line="301" w:lineRule="exact"/>
                      <w:ind w:left="20"/>
                      <w:rPr>
                        <w:sz w:val="24"/>
                      </w:rPr>
                    </w:pPr>
                    <w:r>
                      <w:rPr>
                        <w:sz w:val="24"/>
                        <w:szCs w:val="22"/>
                      </w:rPr>
                      <w:t xml:space="preserve">— </w:t>
                    </w:r>
                    <w:r>
                      <w:rPr>
                        <w:sz w:val="24"/>
                      </w:rPr>
                      <w:fldChar w:fldCharType="begin"/>
                    </w:r>
                    <w:r>
                      <w:rPr>
                        <w:sz w:val="24"/>
                      </w:rPr>
                      <w:instrText xml:space="preserve"> PAGE </w:instrText>
                    </w:r>
                    <w:r>
                      <w:rPr>
                        <w:sz w:val="24"/>
                      </w:rPr>
                      <w:fldChar w:fldCharType="separate"/>
                    </w:r>
                    <w:r>
                      <w:rPr>
                        <w:sz w:val="24"/>
                      </w:rPr>
                      <w:t>10</w:t>
                    </w:r>
                    <w:r>
                      <w:rPr>
                        <w:sz w:val="24"/>
                      </w:rPr>
                      <w:fldChar w:fldCharType="end"/>
                    </w:r>
                    <w:r>
                      <w:rPr>
                        <w:sz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2231D6"/>
    <w:rsid w:val="4D206D46"/>
    <w:rsid w:val="597E4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ind w:left="138" w:hanging="550"/>
      <w:jc w:val="left"/>
      <w:outlineLvl w:val="0"/>
    </w:pPr>
    <w:rPr>
      <w:rFonts w:ascii="PMingLiU" w:hAnsi="PMingLiU" w:eastAsia="PMingLiU" w:cs="PMingLiU"/>
      <w:kern w:val="0"/>
      <w:sz w:val="44"/>
      <w:szCs w:val="44"/>
      <w:lang w:val="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uiPriority w:val="0"/>
    <w:pPr>
      <w:autoSpaceDE w:val="0"/>
      <w:autoSpaceDN w:val="0"/>
      <w:jc w:val="left"/>
    </w:pPr>
    <w:rPr>
      <w:rFonts w:ascii="宋体" w:hAnsi="宋体" w:cs="宋体"/>
      <w:kern w:val="0"/>
      <w:sz w:val="32"/>
      <w:szCs w:val="32"/>
      <w:lang w:val="zh-CN"/>
    </w:r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2021-04-29T07:57:00Z</dcterms:created>
  <dc:creator>Administrator</dc:creator>
  <cp:lastModifiedBy>Administrator</cp:lastModifiedBy>
  <dcterms:modified xsi:type="dcterms:W3CDTF">2021-05-06T07:25:43Z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7BB62B0A7CEA434288B09CCB6466123A</vt:lpwstr>
  </property>
</Properties>
</file>